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41C13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cstheme="minorEastAsia"/>
          <w:b/>
          <w:bCs/>
          <w:color w:val="auto"/>
          <w:sz w:val="32"/>
          <w:szCs w:val="32"/>
          <w:highlight w:val="none"/>
          <w:lang w:val="en-US" w:eastAsia="zh-CN"/>
        </w:rPr>
        <w:t>采购需求</w:t>
      </w:r>
    </w:p>
    <w:p w14:paraId="49721E29">
      <w:pPr>
        <w:jc w:val="left"/>
        <w:rPr>
          <w:rFonts w:hint="default"/>
          <w:color w:val="auto"/>
          <w:highlight w:val="none"/>
          <w:lang w:val="en-US" w:eastAsia="zh-CN"/>
        </w:rPr>
      </w:pPr>
      <w:r>
        <w:rPr>
          <w:rFonts w:hint="default"/>
          <w:b/>
          <w:bCs/>
          <w:color w:val="auto"/>
          <w:sz w:val="28"/>
          <w:szCs w:val="28"/>
          <w:highlight w:val="none"/>
          <w:lang w:val="en-US" w:eastAsia="zh-CN"/>
        </w:rPr>
        <w:t>一氧化氮检测单元</w:t>
      </w:r>
      <w:r>
        <w:rPr>
          <w:rFonts w:hint="eastAsia"/>
          <w:b/>
          <w:bCs/>
          <w:color w:val="auto"/>
          <w:sz w:val="28"/>
          <w:szCs w:val="28"/>
          <w:highlight w:val="none"/>
          <w:lang w:val="en-US" w:eastAsia="zh-CN"/>
        </w:rPr>
        <w:t>参数要求</w:t>
      </w:r>
    </w:p>
    <w:p w14:paraId="6F4E5AA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耗材类型：一氧化氮检测单元有医疗器械注册证及C码</w:t>
      </w:r>
    </w:p>
    <w:p w14:paraId="3E4DBC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2、检测次数：可提供不小于300检测次数的检测单元，次数应体现在注册证型号上</w:t>
      </w:r>
    </w:p>
    <w:p w14:paraId="2EB72D1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3、检测类型：消耗一次检测单元次数，可检测FeNO、CaNO、FnNO、SNO 4种参数,并且这几种检测项目可组合检测，检测/组合方式不低于7种，只消耗一次检测单元次数。</w:t>
      </w:r>
    </w:p>
    <w:p w14:paraId="1AA0DF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szCs w:val="24"/>
          <w:highlight w:val="none"/>
          <w:lang w:val="en-US" w:eastAsia="zh-CN"/>
        </w:rPr>
        <w:t>4、检测范围：1ppb－3500ppb</w:t>
      </w:r>
      <w:bookmarkStart w:id="1" w:name="_GoBack"/>
      <w:bookmarkEnd w:id="1"/>
    </w:p>
    <w:p w14:paraId="29F3C6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5、示值误差：误差±3ppb或±10%</w:t>
      </w:r>
    </w:p>
    <w:p w14:paraId="34797B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6、重复性：≤10%</w:t>
      </w:r>
    </w:p>
    <w:p w14:paraId="7B3420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7、检测下限：1ppb</w:t>
      </w:r>
    </w:p>
    <w:p w14:paraId="1862AD5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color w:val="auto"/>
          <w:highlight w:val="none"/>
          <w:lang w:val="en-US" w:eastAsia="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szCs w:val="24"/>
          <w:highlight w:val="none"/>
          <w:lang w:val="en-US" w:eastAsia="zh-CN"/>
        </w:rPr>
        <w:t>8、稳定性：2小时内测量结果误差≤±10%</w:t>
      </w:r>
    </w:p>
    <w:p w14:paraId="41BFD472">
      <w:pPr>
        <w:pStyle w:val="16"/>
        <w:tabs>
          <w:tab w:val="left" w:pos="2766"/>
        </w:tabs>
        <w:spacing w:line="360" w:lineRule="auto"/>
        <w:ind w:firstLine="0" w:firstLineChars="0"/>
        <w:jc w:val="left"/>
        <w:rPr>
          <w:rFonts w:hint="eastAsia" w:asciiTheme="minorEastAsia" w:hAnsiTheme="minorEastAsia" w:cstheme="minorEastAsia"/>
          <w:b/>
          <w:bCs/>
          <w:color w:val="auto"/>
          <w:kern w:val="0"/>
          <w:sz w:val="24"/>
          <w:szCs w:val="24"/>
          <w:highlight w:val="none"/>
          <w:lang w:val="en-US" w:eastAsia="zh-CN" w:bidi="ar"/>
        </w:rPr>
      </w:pPr>
    </w:p>
    <w:p w14:paraId="4D8D9381">
      <w:pPr>
        <w:pStyle w:val="16"/>
        <w:tabs>
          <w:tab w:val="left" w:pos="2766"/>
        </w:tabs>
        <w:spacing w:line="360" w:lineRule="auto"/>
        <w:ind w:firstLine="0" w:firstLineChars="0"/>
        <w:jc w:val="left"/>
        <w:rPr>
          <w:rFonts w:hint="eastAsia" w:asciiTheme="minorEastAsia" w:hAnsiTheme="minorEastAsia" w:eastAsiaTheme="minorEastAsia" w:cstheme="minorEastAsia"/>
          <w:b/>
          <w:bCs/>
          <w:color w:val="auto"/>
          <w:kern w:val="0"/>
          <w:sz w:val="28"/>
          <w:szCs w:val="28"/>
          <w:highlight w:val="none"/>
          <w:lang w:val="en-US" w:eastAsia="zh-CN" w:bidi="ar"/>
        </w:rPr>
      </w:pPr>
      <w:r>
        <w:rPr>
          <w:rFonts w:hint="eastAsia" w:asciiTheme="minorEastAsia" w:hAnsiTheme="minorEastAsia" w:eastAsiaTheme="minorEastAsia" w:cstheme="minorEastAsia"/>
          <w:b/>
          <w:bCs/>
          <w:color w:val="auto"/>
          <w:kern w:val="0"/>
          <w:sz w:val="28"/>
          <w:szCs w:val="28"/>
          <w:highlight w:val="none"/>
          <w:lang w:val="en-US" w:eastAsia="zh-CN" w:bidi="ar"/>
        </w:rPr>
        <w:t>评审（满分</w:t>
      </w:r>
      <w:r>
        <w:rPr>
          <w:rFonts w:hint="eastAsia" w:asciiTheme="minorEastAsia" w:hAnsiTheme="minorEastAsia" w:cstheme="minorEastAsia"/>
          <w:b/>
          <w:bCs/>
          <w:color w:val="auto"/>
          <w:kern w:val="0"/>
          <w:sz w:val="28"/>
          <w:szCs w:val="28"/>
          <w:highlight w:val="none"/>
          <w:lang w:val="en-US" w:eastAsia="zh-CN" w:bidi="ar"/>
        </w:rPr>
        <w:t>60</w:t>
      </w:r>
      <w:r>
        <w:rPr>
          <w:rFonts w:hint="eastAsia" w:asciiTheme="minorEastAsia" w:hAnsiTheme="minorEastAsia" w:eastAsiaTheme="minorEastAsia" w:cstheme="minorEastAsia"/>
          <w:b/>
          <w:bCs/>
          <w:color w:val="auto"/>
          <w:kern w:val="0"/>
          <w:sz w:val="28"/>
          <w:szCs w:val="28"/>
          <w:highlight w:val="none"/>
          <w:lang w:val="en-US" w:eastAsia="zh-CN" w:bidi="ar"/>
        </w:rPr>
        <w:t>分）</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487"/>
        <w:gridCol w:w="6211"/>
      </w:tblGrid>
      <w:tr w14:paraId="63C9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4457237A">
            <w:pPr>
              <w:tabs>
                <w:tab w:val="left" w:pos="0"/>
              </w:tabs>
              <w:snapToGrid w:val="0"/>
              <w:spacing w:line="360" w:lineRule="auto"/>
              <w:jc w:val="center"/>
              <w:rPr>
                <w:rFonts w:ascii="宋体" w:hAnsi="宋体" w:cs="宋体"/>
                <w:color w:val="auto"/>
                <w:sz w:val="24"/>
                <w:highlight w:val="none"/>
              </w:rPr>
            </w:pPr>
            <w:bookmarkStart w:id="0" w:name="OLE_LINK3"/>
            <w:r>
              <w:rPr>
                <w:rFonts w:hint="eastAsia" w:ascii="宋体" w:hAnsi="宋体" w:cs="宋体"/>
                <w:color w:val="auto"/>
                <w:sz w:val="24"/>
                <w:highlight w:val="none"/>
              </w:rPr>
              <w:t>序号</w:t>
            </w:r>
          </w:p>
        </w:tc>
        <w:tc>
          <w:tcPr>
            <w:tcW w:w="1487" w:type="dxa"/>
            <w:tcBorders>
              <w:top w:val="single" w:color="auto" w:sz="4" w:space="0"/>
              <w:left w:val="single" w:color="auto" w:sz="4" w:space="0"/>
              <w:bottom w:val="single" w:color="auto" w:sz="4" w:space="0"/>
              <w:right w:val="single" w:color="auto" w:sz="4" w:space="0"/>
            </w:tcBorders>
            <w:vAlign w:val="center"/>
          </w:tcPr>
          <w:p w14:paraId="42C6B5FB">
            <w:pPr>
              <w:tabs>
                <w:tab w:val="left" w:pos="0"/>
              </w:tabs>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评分因素</w:t>
            </w:r>
          </w:p>
        </w:tc>
        <w:tc>
          <w:tcPr>
            <w:tcW w:w="6211" w:type="dxa"/>
            <w:tcBorders>
              <w:top w:val="single" w:color="auto" w:sz="4" w:space="0"/>
              <w:left w:val="single" w:color="auto" w:sz="4" w:space="0"/>
              <w:bottom w:val="single" w:color="auto" w:sz="4" w:space="0"/>
              <w:right w:val="single" w:color="auto" w:sz="4" w:space="0"/>
            </w:tcBorders>
            <w:vAlign w:val="center"/>
          </w:tcPr>
          <w:p w14:paraId="530937D2">
            <w:pPr>
              <w:tabs>
                <w:tab w:val="left" w:pos="0"/>
              </w:tabs>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评审标准</w:t>
            </w:r>
          </w:p>
        </w:tc>
      </w:tr>
      <w:tr w14:paraId="125B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5E82AF4B">
            <w:pPr>
              <w:tabs>
                <w:tab w:val="left" w:pos="0"/>
              </w:tabs>
              <w:snapToGrid w:val="0"/>
              <w:spacing w:line="360" w:lineRule="auto"/>
              <w:jc w:val="center"/>
              <w:rPr>
                <w:rFonts w:ascii="宋体" w:hAnsi="宋体" w:cs="宋体"/>
                <w:color w:val="auto"/>
                <w:sz w:val="24"/>
                <w:highlight w:val="none"/>
              </w:rPr>
            </w:pPr>
            <w:r>
              <w:rPr>
                <w:rFonts w:ascii="宋体" w:hAnsi="宋体" w:cs="宋体"/>
                <w:color w:val="auto"/>
                <w:sz w:val="24"/>
                <w:highlight w:val="none"/>
              </w:rPr>
              <w:t>1</w:t>
            </w:r>
          </w:p>
        </w:tc>
        <w:tc>
          <w:tcPr>
            <w:tcW w:w="1487" w:type="dxa"/>
            <w:tcBorders>
              <w:top w:val="single" w:color="auto" w:sz="4" w:space="0"/>
              <w:left w:val="single" w:color="auto" w:sz="4" w:space="0"/>
              <w:bottom w:val="single" w:color="auto" w:sz="4" w:space="0"/>
              <w:right w:val="single" w:color="auto" w:sz="4" w:space="0"/>
            </w:tcBorders>
            <w:vAlign w:val="center"/>
          </w:tcPr>
          <w:p w14:paraId="69DA6AD7">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lang w:val="zh-CN"/>
              </w:rPr>
              <w:t>技术参数（</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w:t>
            </w:r>
            <w:r>
              <w:rPr>
                <w:rFonts w:hint="eastAsia" w:ascii="宋体" w:hAnsi="宋体" w:cs="宋体"/>
                <w:color w:val="auto"/>
                <w:sz w:val="24"/>
                <w:highlight w:val="none"/>
                <w:lang w:val="zh-CN"/>
              </w:rPr>
              <w:t>）</w:t>
            </w:r>
          </w:p>
        </w:tc>
        <w:tc>
          <w:tcPr>
            <w:tcW w:w="6211" w:type="dxa"/>
            <w:tcBorders>
              <w:top w:val="single" w:color="auto" w:sz="4" w:space="0"/>
              <w:left w:val="single" w:color="auto" w:sz="4" w:space="0"/>
              <w:bottom w:val="single" w:color="auto" w:sz="4" w:space="0"/>
              <w:right w:val="single" w:color="auto" w:sz="4" w:space="0"/>
            </w:tcBorders>
            <w:vAlign w:val="center"/>
          </w:tcPr>
          <w:p w14:paraId="79F633EB">
            <w:pPr>
              <w:snapToGrid w:val="0"/>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带“☆”参数（</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zh-CN"/>
              </w:rPr>
              <w:t>项）每满足一项得</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val="zh-CN"/>
              </w:rPr>
              <w:t>分，最高得</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val="zh-CN"/>
              </w:rPr>
              <w:t xml:space="preserve">分。 </w:t>
            </w:r>
          </w:p>
          <w:p w14:paraId="65644153">
            <w:pPr>
              <w:snapToGrid w:val="0"/>
              <w:spacing w:line="360" w:lineRule="auto"/>
              <w:rPr>
                <w:rFonts w:ascii="宋体" w:hAnsi="宋体" w:cs="宋体"/>
                <w:color w:val="auto"/>
                <w:sz w:val="24"/>
                <w:highlight w:val="none"/>
                <w:lang w:val="zh-CN"/>
              </w:rPr>
            </w:pPr>
            <w:r>
              <w:rPr>
                <w:rFonts w:hint="eastAsia" w:ascii="宋体" w:hAnsi="宋体" w:eastAsia="宋体" w:cs="宋体"/>
                <w:color w:val="auto"/>
                <w:sz w:val="24"/>
                <w:highlight w:val="none"/>
                <w:lang w:val="zh-CN" w:eastAsia="zh-CN"/>
              </w:rPr>
              <w:t>评审依据：要求提供证明材料，需根据采购需求提供相关证明材料扫描件放入</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lang w:val="zh-CN" w:eastAsia="zh-CN"/>
              </w:rPr>
              <w:t>文件。（</w:t>
            </w:r>
            <w:r>
              <w:rPr>
                <w:rFonts w:hint="eastAsia" w:ascii="宋体" w:hAnsi="宋体" w:eastAsia="宋体" w:cs="宋体"/>
                <w:color w:val="auto"/>
                <w:sz w:val="24"/>
                <w:highlight w:val="none"/>
                <w:lang w:val="en-US" w:eastAsia="zh-CN"/>
              </w:rPr>
              <w:t>证明材料是注册证或备案证或说明书或彩页等</w:t>
            </w:r>
            <w:r>
              <w:rPr>
                <w:rFonts w:hint="eastAsia" w:ascii="宋体" w:hAnsi="宋体" w:eastAsia="宋体" w:cs="宋体"/>
                <w:color w:val="auto"/>
                <w:sz w:val="24"/>
                <w:highlight w:val="none"/>
                <w:lang w:val="zh-CN" w:eastAsia="zh-CN"/>
              </w:rPr>
              <w:t>）</w:t>
            </w:r>
            <w:r>
              <w:rPr>
                <w:rFonts w:hint="default" w:ascii="宋体" w:hAnsi="宋体" w:eastAsia="宋体" w:cs="宋体"/>
                <w:color w:val="auto"/>
                <w:sz w:val="24"/>
                <w:highlight w:val="none"/>
                <w:lang w:val="zh-CN" w:eastAsia="zh-CN"/>
              </w:rPr>
              <w:t xml:space="preserve"> </w:t>
            </w:r>
          </w:p>
        </w:tc>
      </w:tr>
      <w:tr w14:paraId="6F6C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824" w:type="dxa"/>
            <w:tcBorders>
              <w:top w:val="single" w:color="auto" w:sz="4" w:space="0"/>
              <w:left w:val="single" w:color="auto" w:sz="4" w:space="0"/>
              <w:bottom w:val="single" w:color="auto" w:sz="4" w:space="0"/>
              <w:right w:val="single" w:color="auto" w:sz="4" w:space="0"/>
            </w:tcBorders>
            <w:vAlign w:val="center"/>
          </w:tcPr>
          <w:p w14:paraId="610A5A34">
            <w:pPr>
              <w:tabs>
                <w:tab w:val="left" w:pos="0"/>
              </w:tabs>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2</w:t>
            </w:r>
          </w:p>
        </w:tc>
        <w:tc>
          <w:tcPr>
            <w:tcW w:w="1487" w:type="dxa"/>
            <w:tcBorders>
              <w:top w:val="single" w:color="auto" w:sz="4" w:space="0"/>
              <w:left w:val="single" w:color="auto" w:sz="4" w:space="0"/>
              <w:bottom w:val="single" w:color="auto" w:sz="4" w:space="0"/>
              <w:right w:val="single" w:color="auto" w:sz="4" w:space="0"/>
            </w:tcBorders>
            <w:vAlign w:val="center"/>
          </w:tcPr>
          <w:p w14:paraId="64D43E7C">
            <w:pPr>
              <w:autoSpaceDE w:val="0"/>
              <w:autoSpaceDN w:val="0"/>
              <w:snapToGrid w:val="0"/>
              <w:spacing w:line="360" w:lineRule="auto"/>
              <w:ind w:right="92" w:rightChars="0"/>
              <w:jc w:val="center"/>
              <w:rPr>
                <w:rFonts w:hint="eastAsia" w:ascii="宋体" w:hAnsi="宋体" w:eastAsia="宋体" w:cs="宋体"/>
                <w:color w:val="auto"/>
                <w:kern w:val="0"/>
                <w:sz w:val="24"/>
                <w:szCs w:val="24"/>
                <w:highlight w:val="none"/>
                <w:lang w:val="en-US" w:eastAsia="zh-CN" w:bidi="zh-CN"/>
              </w:rPr>
            </w:pPr>
            <w:r>
              <w:rPr>
                <w:rFonts w:hint="eastAsia" w:ascii="宋体" w:hAnsi="宋体" w:cs="宋体"/>
                <w:color w:val="auto"/>
                <w:sz w:val="24"/>
                <w:highlight w:val="none"/>
                <w:lang w:val="zh-CN" w:eastAsia="zh-CN"/>
              </w:rPr>
              <w:t>产品</w:t>
            </w:r>
            <w:r>
              <w:rPr>
                <w:rFonts w:hint="eastAsia" w:ascii="宋体" w:hAnsi="宋体" w:cs="宋体"/>
                <w:color w:val="auto"/>
                <w:sz w:val="24"/>
                <w:highlight w:val="none"/>
                <w:lang w:val="en-US" w:eastAsia="zh-CN"/>
              </w:rPr>
              <w:t>性能</w:t>
            </w: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w:t>
            </w:r>
            <w:r>
              <w:rPr>
                <w:rFonts w:hint="eastAsia" w:ascii="宋体" w:hAnsi="宋体" w:cs="宋体"/>
                <w:color w:val="auto"/>
                <w:sz w:val="24"/>
                <w:highlight w:val="none"/>
                <w:lang w:val="zh-CN"/>
              </w:rPr>
              <w:t>）</w:t>
            </w:r>
          </w:p>
        </w:tc>
        <w:tc>
          <w:tcPr>
            <w:tcW w:w="6211" w:type="dxa"/>
            <w:tcBorders>
              <w:top w:val="single" w:color="auto" w:sz="4" w:space="0"/>
              <w:left w:val="single" w:color="auto" w:sz="4" w:space="0"/>
              <w:bottom w:val="single" w:color="auto" w:sz="4" w:space="0"/>
              <w:right w:val="single" w:color="auto" w:sz="4" w:space="0"/>
            </w:tcBorders>
            <w:vAlign w:val="center"/>
          </w:tcPr>
          <w:p w14:paraId="607BCE8C">
            <w:pPr>
              <w:snapToGrid w:val="0"/>
              <w:spacing w:line="360" w:lineRule="auto"/>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highlight w:val="none"/>
                <w:lang w:val="en-US" w:eastAsia="zh-CN"/>
              </w:rPr>
              <w:t>投标人需在响应文件中提供各产品相关图片进行充分展示及说明或介绍。</w:t>
            </w:r>
            <w:r>
              <w:rPr>
                <w:rFonts w:hint="eastAsia" w:asciiTheme="minorEastAsia" w:hAnsiTheme="minorEastAsia" w:eastAsiaTheme="minorEastAsia" w:cstheme="minorEastAsia"/>
                <w:color w:val="auto"/>
                <w:sz w:val="24"/>
                <w:szCs w:val="24"/>
                <w:highlight w:val="none"/>
                <w:lang w:val="en-US" w:eastAsia="zh-CN"/>
              </w:rPr>
              <w:t>从低到高</w:t>
            </w:r>
            <w:r>
              <w:rPr>
                <w:rFonts w:hint="eastAsia" w:asciiTheme="minorEastAsia" w:hAnsiTheme="minorEastAsia" w:cstheme="minorEastAsia"/>
                <w:color w:val="auto"/>
                <w:sz w:val="24"/>
                <w:szCs w:val="24"/>
                <w:highlight w:val="none"/>
                <w:lang w:val="en-US" w:eastAsia="zh-CN"/>
              </w:rPr>
              <w:t>1-</w:t>
            </w:r>
            <w:r>
              <w:rPr>
                <w:rFonts w:hint="eastAsia" w:ascii="宋体" w:hAnsi="宋体" w:cs="宋体"/>
                <w:color w:val="auto"/>
                <w:sz w:val="24"/>
                <w:highlight w:val="none"/>
                <w:lang w:val="en-US" w:eastAsia="zh-CN"/>
              </w:rPr>
              <w:t>10分；</w:t>
            </w:r>
          </w:p>
        </w:tc>
      </w:tr>
      <w:tr w14:paraId="15A8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6F918F6E">
            <w:pPr>
              <w:tabs>
                <w:tab w:val="left" w:pos="0"/>
              </w:tabs>
              <w:snapToGrid w:val="0"/>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1487" w:type="dxa"/>
            <w:tcBorders>
              <w:top w:val="single" w:color="auto" w:sz="4" w:space="0"/>
              <w:left w:val="single" w:color="auto" w:sz="4" w:space="0"/>
              <w:bottom w:val="single" w:color="auto" w:sz="4" w:space="0"/>
              <w:right w:val="single" w:color="auto" w:sz="4" w:space="0"/>
            </w:tcBorders>
            <w:vAlign w:val="center"/>
          </w:tcPr>
          <w:p w14:paraId="4937F19A">
            <w:pPr>
              <w:autoSpaceDE w:val="0"/>
              <w:autoSpaceDN w:val="0"/>
              <w:snapToGrid w:val="0"/>
              <w:spacing w:line="360" w:lineRule="auto"/>
              <w:ind w:right="92"/>
              <w:jc w:val="center"/>
              <w:rPr>
                <w:rFonts w:ascii="宋体" w:hAnsi="宋体" w:cs="宋体"/>
                <w:color w:val="auto"/>
                <w:kern w:val="0"/>
                <w:sz w:val="24"/>
                <w:highlight w:val="none"/>
                <w:lang w:val="zh-CN" w:bidi="zh-CN"/>
              </w:rPr>
            </w:pPr>
            <w:r>
              <w:rPr>
                <w:rFonts w:hint="eastAsia" w:ascii="宋体" w:hAnsi="宋体" w:cs="宋体"/>
                <w:color w:val="auto"/>
                <w:kern w:val="0"/>
                <w:sz w:val="24"/>
                <w:highlight w:val="none"/>
                <w:lang w:val="en-US" w:bidi="zh-CN"/>
              </w:rPr>
              <w:t>配送方案</w:t>
            </w: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分</w:t>
            </w:r>
            <w:r>
              <w:rPr>
                <w:rFonts w:hint="eastAsia" w:ascii="宋体" w:hAnsi="宋体" w:cs="宋体"/>
                <w:color w:val="auto"/>
                <w:sz w:val="24"/>
                <w:highlight w:val="none"/>
                <w:lang w:val="zh-CN"/>
              </w:rPr>
              <w:t>）</w:t>
            </w:r>
          </w:p>
        </w:tc>
        <w:tc>
          <w:tcPr>
            <w:tcW w:w="6211" w:type="dxa"/>
            <w:tcBorders>
              <w:top w:val="single" w:color="auto" w:sz="4" w:space="0"/>
              <w:left w:val="single" w:color="auto" w:sz="4" w:space="0"/>
              <w:bottom w:val="single" w:color="auto" w:sz="4" w:space="0"/>
              <w:right w:val="single" w:color="auto" w:sz="4" w:space="0"/>
            </w:tcBorders>
            <w:vAlign w:val="center"/>
          </w:tcPr>
          <w:p w14:paraId="497FFB37">
            <w:pPr>
              <w:snapToGrid w:val="0"/>
              <w:spacing w:line="360" w:lineRule="auto"/>
              <w:rPr>
                <w:rFonts w:ascii="宋体" w:hAnsi="宋体"/>
                <w:color w:val="auto"/>
                <w:sz w:val="24"/>
                <w:highlight w:val="none"/>
              </w:rPr>
            </w:pPr>
            <w:r>
              <w:rPr>
                <w:rFonts w:hint="eastAsia" w:ascii="宋体" w:hAnsi="宋体"/>
                <w:color w:val="auto"/>
                <w:sz w:val="24"/>
                <w:highlight w:val="none"/>
                <w:lang w:val="en-US" w:eastAsia="zh-CN"/>
              </w:rPr>
              <w:t>投标人自行编制配送方案，评审小组依据方案内收到计划正常配送时间及方式、紧急采购配送时间及方式进行评分。</w:t>
            </w:r>
            <w:r>
              <w:rPr>
                <w:rFonts w:hint="eastAsia" w:asciiTheme="minorEastAsia" w:hAnsiTheme="minorEastAsia" w:eastAsiaTheme="minorEastAsia" w:cstheme="minorEastAsia"/>
                <w:color w:val="auto"/>
                <w:sz w:val="24"/>
                <w:szCs w:val="24"/>
                <w:highlight w:val="none"/>
                <w:lang w:val="en-US" w:eastAsia="zh-CN"/>
              </w:rPr>
              <w:t>从低到高</w:t>
            </w:r>
            <w:r>
              <w:rPr>
                <w:rFonts w:hint="eastAsia" w:ascii="宋体" w:hAnsi="宋体"/>
                <w:color w:val="auto"/>
                <w:sz w:val="24"/>
                <w:highlight w:val="none"/>
                <w:lang w:val="en-US" w:eastAsia="zh-CN"/>
              </w:rPr>
              <w:t>0-6分。</w:t>
            </w:r>
          </w:p>
        </w:tc>
      </w:tr>
      <w:tr w14:paraId="1CD5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6A71AB4E">
            <w:pPr>
              <w:tabs>
                <w:tab w:val="left" w:pos="0"/>
              </w:tabs>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4</w:t>
            </w:r>
          </w:p>
        </w:tc>
        <w:tc>
          <w:tcPr>
            <w:tcW w:w="1487" w:type="dxa"/>
            <w:tcBorders>
              <w:top w:val="single" w:color="auto" w:sz="4" w:space="0"/>
              <w:left w:val="single" w:color="auto" w:sz="4" w:space="0"/>
              <w:bottom w:val="single" w:color="auto" w:sz="4" w:space="0"/>
              <w:right w:val="single" w:color="auto" w:sz="4" w:space="0"/>
            </w:tcBorders>
            <w:vAlign w:val="center"/>
          </w:tcPr>
          <w:p w14:paraId="307E5E67">
            <w:pPr>
              <w:autoSpaceDE w:val="0"/>
              <w:autoSpaceDN w:val="0"/>
              <w:snapToGrid w:val="0"/>
              <w:spacing w:line="360" w:lineRule="auto"/>
              <w:ind w:right="92"/>
              <w:rPr>
                <w:rFonts w:ascii="宋体" w:hAnsi="宋体" w:cs="宋体"/>
                <w:color w:val="auto"/>
                <w:sz w:val="24"/>
                <w:highlight w:val="none"/>
              </w:rPr>
            </w:pPr>
            <w:r>
              <w:rPr>
                <w:rFonts w:hint="eastAsia" w:ascii="宋体" w:hAnsi="宋体" w:cs="宋体"/>
                <w:color w:val="auto"/>
                <w:kern w:val="0"/>
                <w:sz w:val="24"/>
                <w:highlight w:val="none"/>
                <w:lang w:bidi="zh-CN"/>
              </w:rPr>
              <w:t>培训方案</w:t>
            </w: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分</w:t>
            </w:r>
            <w:r>
              <w:rPr>
                <w:rFonts w:hint="eastAsia" w:ascii="宋体" w:hAnsi="宋体" w:cs="宋体"/>
                <w:color w:val="auto"/>
                <w:sz w:val="24"/>
                <w:highlight w:val="none"/>
                <w:lang w:val="zh-CN"/>
              </w:rPr>
              <w:t>）</w:t>
            </w:r>
          </w:p>
        </w:tc>
        <w:tc>
          <w:tcPr>
            <w:tcW w:w="6211" w:type="dxa"/>
            <w:tcBorders>
              <w:top w:val="single" w:color="auto" w:sz="4" w:space="0"/>
              <w:left w:val="single" w:color="auto" w:sz="4" w:space="0"/>
              <w:bottom w:val="single" w:color="auto" w:sz="4" w:space="0"/>
              <w:right w:val="single" w:color="auto" w:sz="4" w:space="0"/>
            </w:tcBorders>
            <w:vAlign w:val="center"/>
          </w:tcPr>
          <w:p w14:paraId="2DEEAEE9">
            <w:pPr>
              <w:snapToGrid w:val="0"/>
              <w:spacing w:line="360" w:lineRule="auto"/>
              <w:rPr>
                <w:rFonts w:ascii="宋体" w:hAnsi="宋体"/>
                <w:color w:val="auto"/>
                <w:sz w:val="24"/>
                <w:highlight w:val="none"/>
              </w:rPr>
            </w:pPr>
            <w:r>
              <w:rPr>
                <w:rFonts w:ascii="宋体" w:hAnsi="宋体"/>
                <w:color w:val="auto"/>
                <w:sz w:val="24"/>
                <w:highlight w:val="none"/>
              </w:rPr>
              <w:t>根据</w:t>
            </w:r>
            <w:r>
              <w:rPr>
                <w:rFonts w:hint="eastAsia" w:ascii="宋体" w:hAnsi="宋体"/>
                <w:color w:val="auto"/>
                <w:sz w:val="24"/>
                <w:highlight w:val="none"/>
                <w:lang w:val="en-US" w:eastAsia="zh-CN"/>
              </w:rPr>
              <w:t>投标人</w:t>
            </w:r>
            <w:r>
              <w:rPr>
                <w:rFonts w:ascii="宋体" w:hAnsi="宋体"/>
                <w:color w:val="auto"/>
                <w:sz w:val="24"/>
                <w:highlight w:val="none"/>
              </w:rPr>
              <w:t>提供的培训方案进行评审。</w:t>
            </w:r>
            <w:r>
              <w:rPr>
                <w:rFonts w:hint="eastAsia" w:asciiTheme="minorEastAsia" w:hAnsiTheme="minorEastAsia" w:eastAsiaTheme="minorEastAsia" w:cstheme="minorEastAsia"/>
                <w:color w:val="auto"/>
                <w:sz w:val="24"/>
                <w:szCs w:val="24"/>
                <w:highlight w:val="none"/>
                <w:lang w:val="en-US" w:eastAsia="zh-CN"/>
              </w:rPr>
              <w:t>从低到高</w:t>
            </w:r>
            <w:r>
              <w:rPr>
                <w:rFonts w:hint="eastAsia" w:ascii="宋体" w:hAnsi="宋体"/>
                <w:color w:val="auto"/>
                <w:sz w:val="24"/>
                <w:highlight w:val="none"/>
                <w:lang w:val="en-US" w:eastAsia="zh-CN"/>
              </w:rPr>
              <w:t>0-6分。</w:t>
            </w:r>
          </w:p>
        </w:tc>
      </w:tr>
      <w:tr w14:paraId="02B3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489796CD">
            <w:pPr>
              <w:tabs>
                <w:tab w:val="left" w:pos="0"/>
              </w:tabs>
              <w:snapToGrid w:val="0"/>
              <w:spacing w:line="360" w:lineRule="auto"/>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highlight w:val="none"/>
                <w:lang w:val="en-US" w:eastAsia="zh-CN"/>
              </w:rPr>
              <w:t>5</w:t>
            </w:r>
          </w:p>
        </w:tc>
        <w:tc>
          <w:tcPr>
            <w:tcW w:w="1487" w:type="dxa"/>
            <w:tcBorders>
              <w:top w:val="single" w:color="auto" w:sz="4" w:space="0"/>
              <w:left w:val="single" w:color="auto" w:sz="4" w:space="0"/>
              <w:bottom w:val="single" w:color="auto" w:sz="4" w:space="0"/>
              <w:right w:val="single" w:color="auto" w:sz="4" w:space="0"/>
            </w:tcBorders>
            <w:vAlign w:val="center"/>
          </w:tcPr>
          <w:p w14:paraId="5E7C11B9">
            <w:pPr>
              <w:snapToGrid w:val="0"/>
              <w:spacing w:line="360" w:lineRule="auto"/>
              <w:jc w:val="center"/>
              <w:rPr>
                <w:rFonts w:ascii="宋体" w:hAnsi="宋体" w:cs="宋体"/>
                <w:color w:val="auto"/>
                <w:sz w:val="24"/>
                <w:highlight w:val="none"/>
                <w:lang w:val="zh-CN"/>
              </w:rPr>
            </w:pPr>
            <w:r>
              <w:rPr>
                <w:rFonts w:hint="eastAsia" w:ascii="宋体" w:hAnsi="宋体" w:cs="宋体"/>
                <w:color w:val="auto"/>
                <w:sz w:val="24"/>
                <w:highlight w:val="none"/>
              </w:rPr>
              <w:t>业绩</w:t>
            </w:r>
            <w:r>
              <w:rPr>
                <w:rFonts w:hint="eastAsia" w:ascii="宋体" w:hAnsi="宋体" w:cs="宋体"/>
                <w:color w:val="auto"/>
                <w:sz w:val="24"/>
                <w:highlight w:val="none"/>
                <w:lang w:val="zh-CN"/>
              </w:rPr>
              <w:t>（</w:t>
            </w:r>
            <w:r>
              <w:rPr>
                <w:rFonts w:hint="eastAsia" w:ascii="宋体" w:hAnsi="宋体" w:eastAsia="宋体" w:cs="宋体"/>
                <w:color w:val="auto"/>
                <w:sz w:val="24"/>
                <w:highlight w:val="none"/>
                <w:lang w:val="en-US" w:eastAsia="zh-CN"/>
              </w:rPr>
              <w:t>10</w:t>
            </w:r>
            <w:r>
              <w:rPr>
                <w:rFonts w:hint="eastAsia" w:ascii="宋体" w:hAnsi="宋体" w:cs="宋体"/>
                <w:color w:val="auto"/>
                <w:sz w:val="24"/>
                <w:highlight w:val="none"/>
              </w:rPr>
              <w:t>分</w:t>
            </w:r>
            <w:r>
              <w:rPr>
                <w:rFonts w:hint="eastAsia" w:ascii="宋体" w:hAnsi="宋体" w:cs="宋体"/>
                <w:color w:val="auto"/>
                <w:sz w:val="24"/>
                <w:highlight w:val="none"/>
                <w:lang w:val="zh-CN"/>
              </w:rPr>
              <w:t>）</w:t>
            </w:r>
          </w:p>
        </w:tc>
        <w:tc>
          <w:tcPr>
            <w:tcW w:w="6211" w:type="dxa"/>
            <w:tcBorders>
              <w:top w:val="single" w:color="auto" w:sz="4" w:space="0"/>
              <w:left w:val="single" w:color="auto" w:sz="4" w:space="0"/>
              <w:bottom w:val="single" w:color="auto" w:sz="4" w:space="0"/>
              <w:right w:val="single" w:color="auto" w:sz="4" w:space="0"/>
            </w:tcBorders>
            <w:vAlign w:val="center"/>
          </w:tcPr>
          <w:p w14:paraId="45EEEDB9">
            <w:pPr>
              <w:snapToGrid w:val="0"/>
              <w:spacing w:line="360" w:lineRule="auto"/>
              <w:rPr>
                <w:rFonts w:ascii="宋体" w:hAnsi="宋体"/>
                <w:color w:val="auto"/>
                <w:sz w:val="24"/>
                <w:highlight w:val="none"/>
              </w:rPr>
            </w:pPr>
            <w:r>
              <w:rPr>
                <w:rFonts w:hint="eastAsia" w:ascii="宋体" w:hAnsi="宋体"/>
                <w:color w:val="auto"/>
                <w:sz w:val="24"/>
                <w:highlight w:val="none"/>
              </w:rPr>
              <w:t>提供至</w:t>
            </w:r>
            <w:r>
              <w:rPr>
                <w:rFonts w:hint="eastAsia" w:ascii="宋体" w:hAnsi="宋体"/>
                <w:color w:val="auto"/>
                <w:sz w:val="24"/>
                <w:highlight w:val="none"/>
                <w:lang w:val="en-US" w:eastAsia="zh-CN"/>
              </w:rPr>
              <w:t>投标</w:t>
            </w:r>
            <w:r>
              <w:rPr>
                <w:rFonts w:hint="eastAsia" w:ascii="宋体" w:hAnsi="宋体"/>
                <w:color w:val="auto"/>
                <w:sz w:val="24"/>
                <w:highlight w:val="none"/>
              </w:rPr>
              <w:t>截止之日起三年</w:t>
            </w:r>
            <w:r>
              <w:rPr>
                <w:rFonts w:hint="eastAsia" w:ascii="宋体" w:hAnsi="宋体"/>
                <w:color w:val="auto"/>
                <w:sz w:val="24"/>
                <w:highlight w:val="none"/>
                <w:lang w:val="en-US" w:eastAsia="zh-CN"/>
              </w:rPr>
              <w:t>内所投产品的</w:t>
            </w:r>
            <w:r>
              <w:rPr>
                <w:rFonts w:hint="eastAsia" w:ascii="宋体" w:hAnsi="宋体" w:eastAsia="宋体" w:cs="Times New Roman"/>
                <w:color w:val="auto"/>
                <w:sz w:val="24"/>
                <w:szCs w:val="24"/>
                <w:highlight w:val="none"/>
                <w:lang w:val="en-US" w:eastAsia="zh-CN" w:bidi="ar-SA"/>
              </w:rPr>
              <w:t>供货到医院合同</w:t>
            </w:r>
            <w:r>
              <w:rPr>
                <w:rFonts w:hint="eastAsia" w:ascii="宋体" w:hAnsi="宋体"/>
                <w:color w:val="auto"/>
                <w:sz w:val="24"/>
                <w:highlight w:val="none"/>
              </w:rPr>
              <w:t>（包含但不限于</w:t>
            </w:r>
            <w:r>
              <w:rPr>
                <w:rFonts w:hint="eastAsia" w:ascii="宋体" w:hAnsi="宋体"/>
                <w:color w:val="auto"/>
                <w:sz w:val="24"/>
                <w:highlight w:val="none"/>
                <w:lang w:val="en-US" w:eastAsia="zh-CN"/>
              </w:rPr>
              <w:t>投标人</w:t>
            </w:r>
            <w:r>
              <w:rPr>
                <w:rFonts w:hint="eastAsia" w:ascii="宋体" w:hAnsi="宋体"/>
                <w:color w:val="auto"/>
                <w:sz w:val="24"/>
                <w:highlight w:val="none"/>
              </w:rPr>
              <w:t>的业绩，须与本次所投产品同品牌），每提供1份业绩得</w:t>
            </w:r>
            <w:r>
              <w:rPr>
                <w:rFonts w:hint="eastAsia" w:ascii="宋体" w:hAnsi="宋体" w:eastAsia="宋体"/>
                <w:color w:val="auto"/>
                <w:sz w:val="24"/>
                <w:highlight w:val="none"/>
                <w:lang w:val="en-US" w:eastAsia="zh-CN"/>
              </w:rPr>
              <w:t>5</w:t>
            </w:r>
            <w:r>
              <w:rPr>
                <w:rFonts w:hint="eastAsia" w:ascii="宋体" w:hAnsi="宋体"/>
                <w:color w:val="auto"/>
                <w:sz w:val="24"/>
                <w:highlight w:val="none"/>
              </w:rPr>
              <w:t>分，满分</w:t>
            </w:r>
            <w:r>
              <w:rPr>
                <w:rFonts w:hint="eastAsia" w:ascii="宋体" w:hAnsi="宋体" w:eastAsia="宋体"/>
                <w:color w:val="auto"/>
                <w:sz w:val="24"/>
                <w:highlight w:val="none"/>
                <w:lang w:val="en-US" w:eastAsia="zh-CN"/>
              </w:rPr>
              <w:t>10</w:t>
            </w:r>
            <w:r>
              <w:rPr>
                <w:rFonts w:hint="eastAsia" w:ascii="宋体" w:hAnsi="宋体"/>
                <w:color w:val="auto"/>
                <w:sz w:val="24"/>
                <w:highlight w:val="none"/>
              </w:rPr>
              <w:t>分。</w:t>
            </w:r>
          </w:p>
          <w:p w14:paraId="5B744499">
            <w:pPr>
              <w:snapToGrid w:val="0"/>
              <w:spacing w:line="360" w:lineRule="auto"/>
              <w:rPr>
                <w:rFonts w:ascii="宋体" w:hAnsi="宋体" w:cs="宋体"/>
                <w:color w:val="auto"/>
                <w:sz w:val="24"/>
                <w:highlight w:val="none"/>
                <w:lang w:val="zh-CN"/>
              </w:rPr>
            </w:pPr>
            <w:r>
              <w:rPr>
                <w:rFonts w:hint="eastAsia" w:ascii="宋体" w:hAnsi="宋体"/>
                <w:color w:val="auto"/>
                <w:sz w:val="24"/>
                <w:highlight w:val="none"/>
              </w:rPr>
              <w:t>注：须提供</w:t>
            </w:r>
            <w:r>
              <w:rPr>
                <w:rFonts w:hint="eastAsia" w:ascii="宋体" w:hAnsi="宋体"/>
                <w:color w:val="auto"/>
                <w:sz w:val="24"/>
                <w:highlight w:val="none"/>
                <w:lang w:val="en-US" w:eastAsia="zh-CN"/>
              </w:rPr>
              <w:t>合同</w:t>
            </w:r>
            <w:r>
              <w:rPr>
                <w:rFonts w:hint="eastAsia" w:ascii="宋体" w:hAnsi="宋体" w:eastAsia="宋体"/>
                <w:color w:val="auto"/>
                <w:sz w:val="24"/>
                <w:highlight w:val="none"/>
                <w:lang w:val="en-US" w:eastAsia="zh-CN"/>
              </w:rPr>
              <w:t>复印件</w:t>
            </w:r>
            <w:r>
              <w:rPr>
                <w:rFonts w:hint="eastAsia" w:ascii="宋体" w:hAnsi="宋体"/>
                <w:color w:val="auto"/>
                <w:sz w:val="24"/>
                <w:highlight w:val="none"/>
                <w:lang w:val="en-US" w:eastAsia="zh-CN"/>
              </w:rPr>
              <w:t>放入响应文件</w:t>
            </w:r>
            <w:r>
              <w:rPr>
                <w:rFonts w:hint="eastAsia" w:ascii="宋体" w:hAnsi="宋体"/>
                <w:color w:val="auto"/>
                <w:sz w:val="24"/>
                <w:highlight w:val="none"/>
              </w:rPr>
              <w:t>。</w:t>
            </w:r>
          </w:p>
        </w:tc>
      </w:tr>
      <w:tr w14:paraId="0500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single" w:color="auto" w:sz="4" w:space="0"/>
              <w:bottom w:val="single" w:color="auto" w:sz="4" w:space="0"/>
              <w:right w:val="single" w:color="auto" w:sz="4" w:space="0"/>
            </w:tcBorders>
            <w:vAlign w:val="center"/>
          </w:tcPr>
          <w:p w14:paraId="625C9971">
            <w:pPr>
              <w:tabs>
                <w:tab w:val="left" w:pos="0"/>
              </w:tabs>
              <w:snapToGrid w:val="0"/>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1487" w:type="dxa"/>
            <w:tcBorders>
              <w:top w:val="single" w:color="auto" w:sz="4" w:space="0"/>
              <w:left w:val="single" w:color="auto" w:sz="4" w:space="0"/>
              <w:bottom w:val="single" w:color="auto" w:sz="4" w:space="0"/>
              <w:right w:val="single" w:color="auto" w:sz="4" w:space="0"/>
            </w:tcBorders>
            <w:vAlign w:val="center"/>
          </w:tcPr>
          <w:p w14:paraId="7C29A353">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lang w:val="zh-CN"/>
              </w:rPr>
              <w:t>报价（</w:t>
            </w:r>
            <w:r>
              <w:rPr>
                <w:rFonts w:hint="eastAsia" w:ascii="宋体" w:hAnsi="宋体" w:cs="宋体"/>
                <w:color w:val="auto"/>
                <w:sz w:val="24"/>
                <w:highlight w:val="none"/>
                <w:lang w:val="zh-CN" w:eastAsia="zh-CN"/>
              </w:rPr>
              <w:t>百分比</w:t>
            </w:r>
            <w:r>
              <w:rPr>
                <w:rFonts w:hint="eastAsia" w:ascii="宋体" w:hAnsi="宋体" w:cs="宋体"/>
                <w:color w:val="auto"/>
                <w:sz w:val="24"/>
                <w:highlight w:val="none"/>
                <w:lang w:val="zh-CN"/>
              </w:rPr>
              <w:t>）（</w:t>
            </w:r>
            <w:r>
              <w:rPr>
                <w:rFonts w:hint="eastAsia" w:ascii="宋体" w:hAnsi="宋体" w:cs="宋体"/>
                <w:color w:val="auto"/>
                <w:sz w:val="24"/>
                <w:highlight w:val="none"/>
                <w:lang w:val="en-US" w:eastAsia="zh-CN"/>
              </w:rPr>
              <w:t>18</w:t>
            </w:r>
            <w:r>
              <w:rPr>
                <w:rFonts w:hint="eastAsia" w:ascii="宋体" w:hAnsi="宋体" w:cs="宋体"/>
                <w:color w:val="auto"/>
                <w:sz w:val="24"/>
                <w:highlight w:val="none"/>
                <w:lang w:val="zh-CN"/>
              </w:rPr>
              <w:t>分）</w:t>
            </w:r>
          </w:p>
        </w:tc>
        <w:tc>
          <w:tcPr>
            <w:tcW w:w="6211" w:type="dxa"/>
            <w:tcBorders>
              <w:top w:val="single" w:color="auto" w:sz="4" w:space="0"/>
              <w:left w:val="single" w:color="auto" w:sz="4" w:space="0"/>
              <w:bottom w:val="single" w:color="auto" w:sz="4" w:space="0"/>
              <w:right w:val="single" w:color="auto" w:sz="4" w:space="0"/>
            </w:tcBorders>
            <w:vAlign w:val="center"/>
          </w:tcPr>
          <w:p w14:paraId="32004AA3">
            <w:pPr>
              <w:keepNext w:val="0"/>
              <w:keepLines w:val="0"/>
              <w:pageBreakBefore w:val="0"/>
              <w:widowControl w:val="0"/>
              <w:kinsoku/>
              <w:wordWrap/>
              <w:overflowPunct/>
              <w:topLinePunct w:val="0"/>
              <w:bidi w:val="0"/>
              <w:adjustRightInd/>
              <w:snapToGrid w:val="0"/>
              <w:spacing w:after="0"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采用低价优先法计算，即满足采购文件要求且投标价格最低的投标报价为评标基准价，其价格分为满分。其他投标人的价格分统一按照下列公式计算：</w:t>
            </w:r>
          </w:p>
          <w:p w14:paraId="5FC948F1">
            <w:pPr>
              <w:keepNext w:val="0"/>
              <w:keepLines w:val="0"/>
              <w:pageBreakBefore w:val="0"/>
              <w:widowControl/>
              <w:kinsoku/>
              <w:overflowPunct/>
              <w:topLinePunct w:val="0"/>
              <w:bidi w:val="0"/>
              <w:adjustRightInd w:val="0"/>
              <w:snapToGrid w:val="0"/>
              <w:spacing w:line="360" w:lineRule="auto"/>
              <w:ind w:firstLine="480" w:firstLineChars="200"/>
              <w:jc w:val="left"/>
              <w:textAlignment w:val="auto"/>
              <w:rPr>
                <w:rFonts w:ascii="宋体" w:hAnsi="宋体" w:cs="宋体"/>
                <w:color w:val="auto"/>
                <w:sz w:val="24"/>
                <w:highlight w:val="none"/>
              </w:rPr>
            </w:pPr>
            <w:r>
              <w:rPr>
                <w:rFonts w:hint="eastAsia" w:ascii="宋体" w:hAnsi="宋体" w:eastAsia="宋体" w:cs="宋体"/>
                <w:color w:val="auto"/>
                <w:sz w:val="24"/>
                <w:szCs w:val="24"/>
                <w:highlight w:val="none"/>
                <w:lang w:val="en-US" w:eastAsia="en-US" w:bidi="ar-SA"/>
              </w:rPr>
              <w:t>投标报价得分=(评标基准价／投标报价)×</w:t>
            </w:r>
            <w:r>
              <w:rPr>
                <w:rFonts w:hint="eastAsia" w:ascii="宋体" w:hAnsi="宋体" w:eastAsia="宋体" w:cs="宋体"/>
                <w:color w:val="auto"/>
                <w:sz w:val="24"/>
                <w:szCs w:val="24"/>
                <w:highlight w:val="none"/>
                <w:lang w:val="en-US" w:eastAsia="zh-CN" w:bidi="ar-SA"/>
              </w:rPr>
              <w:t>18（四舍五入，精确到小数点后两位）。</w:t>
            </w:r>
          </w:p>
        </w:tc>
      </w:tr>
      <w:bookmarkEnd w:id="0"/>
    </w:tbl>
    <w:p w14:paraId="0B06125D">
      <w:pPr>
        <w:rPr>
          <w:rFonts w:hint="eastAsia"/>
          <w:b/>
          <w:bCs/>
          <w:color w:val="auto"/>
          <w:sz w:val="24"/>
          <w:szCs w:val="24"/>
          <w:highlight w:val="none"/>
          <w:lang w:val="en-US" w:eastAsia="zh-CN"/>
        </w:rPr>
      </w:pPr>
    </w:p>
    <w:p w14:paraId="1007F39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30" w:lineRule="atLeast"/>
        <w:ind w:left="0" w:right="0"/>
        <w:rPr>
          <w:rFonts w:hint="eastAsia" w:asciiTheme="minorEastAsia" w:hAnsiTheme="minorEastAsia" w:eastAsiaTheme="minorEastAsia" w:cstheme="minorEastAsia"/>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8B1F87"/>
    <w:multiLevelType w:val="singleLevel"/>
    <w:tmpl w:val="678B1F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0MGE0OGYyODNjZTNkMGM5ODE1Yjc2ZWM2ZjM1MWUifQ=="/>
  </w:docVars>
  <w:rsids>
    <w:rsidRoot w:val="00000000"/>
    <w:rsid w:val="03EC07D5"/>
    <w:rsid w:val="052A5D7A"/>
    <w:rsid w:val="056239E2"/>
    <w:rsid w:val="05F2584F"/>
    <w:rsid w:val="090D4CBE"/>
    <w:rsid w:val="095D3A0E"/>
    <w:rsid w:val="0BA7412C"/>
    <w:rsid w:val="0FAC06CA"/>
    <w:rsid w:val="10D97398"/>
    <w:rsid w:val="11013484"/>
    <w:rsid w:val="110D3FA0"/>
    <w:rsid w:val="11FC0F14"/>
    <w:rsid w:val="12837BC8"/>
    <w:rsid w:val="140F28CE"/>
    <w:rsid w:val="14F5226F"/>
    <w:rsid w:val="160866B9"/>
    <w:rsid w:val="1BC22D4C"/>
    <w:rsid w:val="1C5A59B3"/>
    <w:rsid w:val="1E463F1E"/>
    <w:rsid w:val="22021A41"/>
    <w:rsid w:val="229161D0"/>
    <w:rsid w:val="23AC4FE0"/>
    <w:rsid w:val="23BB6164"/>
    <w:rsid w:val="25AE6E39"/>
    <w:rsid w:val="26043303"/>
    <w:rsid w:val="26C36C65"/>
    <w:rsid w:val="28285D26"/>
    <w:rsid w:val="28AF1EBB"/>
    <w:rsid w:val="28D508D7"/>
    <w:rsid w:val="2CAD5D47"/>
    <w:rsid w:val="2E9C0F87"/>
    <w:rsid w:val="2F5C1254"/>
    <w:rsid w:val="3187654A"/>
    <w:rsid w:val="33B02E00"/>
    <w:rsid w:val="37CC7CC7"/>
    <w:rsid w:val="39C44CC0"/>
    <w:rsid w:val="3CBE4F8C"/>
    <w:rsid w:val="3CEA487B"/>
    <w:rsid w:val="42E3472D"/>
    <w:rsid w:val="43CB173D"/>
    <w:rsid w:val="48783D76"/>
    <w:rsid w:val="48F84300"/>
    <w:rsid w:val="499A39B9"/>
    <w:rsid w:val="4F837195"/>
    <w:rsid w:val="53576511"/>
    <w:rsid w:val="535C7B86"/>
    <w:rsid w:val="57082AA8"/>
    <w:rsid w:val="58D52BCD"/>
    <w:rsid w:val="59402AC6"/>
    <w:rsid w:val="5C281CBF"/>
    <w:rsid w:val="5D6F58B0"/>
    <w:rsid w:val="5E7D23FA"/>
    <w:rsid w:val="5F8965D7"/>
    <w:rsid w:val="5FDC2EBC"/>
    <w:rsid w:val="63DB5E63"/>
    <w:rsid w:val="64980963"/>
    <w:rsid w:val="65C27EE7"/>
    <w:rsid w:val="66636786"/>
    <w:rsid w:val="66AE1DD4"/>
    <w:rsid w:val="69D33DAB"/>
    <w:rsid w:val="6A9C747A"/>
    <w:rsid w:val="6D912D45"/>
    <w:rsid w:val="70344EA3"/>
    <w:rsid w:val="707A2739"/>
    <w:rsid w:val="724F060A"/>
    <w:rsid w:val="72753097"/>
    <w:rsid w:val="76827D2A"/>
    <w:rsid w:val="78803E8C"/>
    <w:rsid w:val="78D00023"/>
    <w:rsid w:val="7AD60415"/>
    <w:rsid w:val="7BA303C1"/>
    <w:rsid w:val="7F923F27"/>
    <w:rsid w:val="7FF47A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6">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left="420" w:firstLine="420" w:firstLineChars="200"/>
    </w:pPr>
  </w:style>
  <w:style w:type="paragraph" w:styleId="3">
    <w:name w:val="Body Text Indent"/>
    <w:basedOn w:val="1"/>
    <w:next w:val="4"/>
    <w:qFormat/>
    <w:uiPriority w:val="0"/>
    <w:pPr>
      <w:ind w:firstLine="630"/>
    </w:pPr>
    <w:rPr>
      <w:sz w:val="32"/>
      <w:szCs w:val="20"/>
    </w:rPr>
  </w:style>
  <w:style w:type="paragraph" w:styleId="4">
    <w:name w:val="envelope return"/>
    <w:basedOn w:val="1"/>
    <w:qFormat/>
    <w:uiPriority w:val="0"/>
    <w:pPr>
      <w:snapToGrid w:val="0"/>
    </w:pPr>
    <w:rPr>
      <w:rFonts w:ascii="Arial" w:hAnsi="Arial"/>
    </w:rPr>
  </w:style>
  <w:style w:type="paragraph" w:styleId="7">
    <w:name w:val="Body Text"/>
    <w:basedOn w:val="1"/>
    <w:qFormat/>
    <w:uiPriority w:val="0"/>
    <w:pPr>
      <w:spacing w:before="26"/>
      <w:ind w:left="121"/>
    </w:pPr>
    <w:rPr>
      <w:rFonts w:ascii="宋体" w:hAnsi="宋体" w:eastAsia="宋体"/>
      <w:sz w:val="24"/>
      <w:szCs w:val="24"/>
    </w:rPr>
  </w:style>
  <w:style w:type="paragraph" w:styleId="8">
    <w:name w:val="Plain Text"/>
    <w:basedOn w:val="1"/>
    <w:qFormat/>
    <w:uiPriority w:val="99"/>
    <w:rPr>
      <w:rFonts w:ascii="宋体" w:hAnsi="Courier New" w:eastAsia="华文宋体" w:cs="宋体"/>
      <w:sz w:val="28"/>
      <w:szCs w:val="28"/>
    </w:rPr>
  </w:style>
  <w:style w:type="paragraph" w:styleId="9">
    <w:name w:val="Date"/>
    <w:basedOn w:val="1"/>
    <w:next w:val="1"/>
    <w:qFormat/>
    <w:uiPriority w:val="0"/>
    <w:pPr>
      <w:ind w:left="100" w:leftChars="2500"/>
    </w:pPr>
  </w:style>
  <w:style w:type="paragraph" w:styleId="10">
    <w:name w:val="header"/>
    <w:basedOn w:val="1"/>
    <w:qFormat/>
    <w:uiPriority w:val="0"/>
    <w:pPr>
      <w:pBdr>
        <w:bottom w:val="single" w:color="auto" w:sz="12" w:space="1"/>
      </w:pBdr>
      <w:tabs>
        <w:tab w:val="center" w:pos="4153"/>
        <w:tab w:val="right" w:pos="8306"/>
      </w:tabs>
      <w:snapToGrid w:val="0"/>
      <w:jc w:val="center"/>
    </w:pPr>
    <w:rPr>
      <w:rFonts w:eastAsia="宋体"/>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Hyperlink"/>
    <w:basedOn w:val="13"/>
    <w:qFormat/>
    <w:uiPriority w:val="0"/>
    <w:rPr>
      <w:color w:val="0000FF"/>
      <w:u w:val="single"/>
    </w:rPr>
  </w:style>
  <w:style w:type="paragraph" w:customStyle="1" w:styleId="15">
    <w:name w:val="_Style 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
    <w:name w:val="02标题二"/>
    <w:basedOn w:val="1"/>
    <w:qFormat/>
    <w:uiPriority w:val="0"/>
    <w:pPr>
      <w:ind w:firstLine="562" w:firstLineChars="200"/>
    </w:pPr>
    <w:rPr>
      <w:rFonts w:cs="华文仿宋"/>
      <w:b/>
      <w:bCs/>
      <w:sz w:val="28"/>
      <w:szCs w:val="28"/>
    </w:rPr>
  </w:style>
  <w:style w:type="paragraph" w:customStyle="1" w:styleId="17">
    <w:name w:val="TOC 标题1"/>
    <w:basedOn w:val="5"/>
    <w:next w:val="1"/>
    <w:qFormat/>
    <w:uiPriority w:val="39"/>
    <w:pPr>
      <w:tabs>
        <w:tab w:val="left" w:pos="1800"/>
      </w:tabs>
      <w:spacing w:before="480" w:line="276" w:lineRule="auto"/>
      <w:outlineLvl w:val="9"/>
    </w:pPr>
    <w:rPr>
      <w:rFonts w:ascii="仿宋" w:hAnsi="仿宋" w:eastAsia="仿宋"/>
      <w:color w:val="000000"/>
      <w:kern w:val="0"/>
      <w:sz w:val="32"/>
      <w:szCs w:val="32"/>
    </w:rPr>
  </w:style>
  <w:style w:type="paragraph" w:customStyle="1" w:styleId="1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9">
    <w:name w:val="002标题"/>
    <w:basedOn w:val="1"/>
    <w:qFormat/>
    <w:uiPriority w:val="99"/>
    <w:pPr>
      <w:jc w:val="center"/>
    </w:pPr>
    <w:rPr>
      <w:sz w:val="30"/>
      <w:szCs w:val="30"/>
    </w:rPr>
  </w:style>
  <w:style w:type="paragraph" w:customStyle="1" w:styleId="20">
    <w:name w:val="List Paragraph"/>
    <w:basedOn w:val="1"/>
    <w:qFormat/>
    <w:uiPriority w:val="34"/>
    <w:pPr>
      <w:ind w:firstLine="420" w:firstLineChars="200"/>
    </w:pPr>
  </w:style>
  <w:style w:type="paragraph" w:customStyle="1" w:styleId="21">
    <w:name w:val="正文正"/>
    <w:basedOn w:val="1"/>
    <w:qFormat/>
    <w:uiPriority w:val="0"/>
    <w:pPr>
      <w:spacing w:line="560" w:lineRule="exact"/>
      <w:ind w:firstLine="561"/>
    </w:pPr>
    <w:rPr>
      <w:rFonts w:ascii="Calibri" w:hAnsi="Calibri" w:eastAsia="仿宋_GB2312" w:cs="宋体"/>
      <w:sz w:val="28"/>
      <w:szCs w:val="24"/>
    </w:rPr>
  </w:style>
  <w:style w:type="character" w:customStyle="1" w:styleId="22">
    <w:name w:val="样式 仿宋"/>
    <w:qFormat/>
    <w:uiPriority w:val="0"/>
    <w:rPr>
      <w:rFonts w:ascii="仿宋" w:hAnsi="仿宋" w:eastAsia="仿宋"/>
      <w:kern w:val="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676</Words>
  <Characters>726</Characters>
  <Lines>0</Lines>
  <Paragraphs>0</Paragraphs>
  <TotalTime>44</TotalTime>
  <ScaleCrop>false</ScaleCrop>
  <LinksUpToDate>false</LinksUpToDate>
  <CharactersWithSpaces>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2023-01-30T00:56:00Z</dcterms:created>
  <dc:creator>Administrator</dc:creator>
  <cp:lastModifiedBy>ZL</cp:lastModifiedBy>
  <cp:lastPrinted>2023-07-24T00:21:00Z</cp:lastPrinted>
  <dcterms:modified xsi:type="dcterms:W3CDTF">2026-10-29T07:35:48Z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6455EFE6D2F046148A357A02B232F3DE_13</vt:lpwstr>
  </property>
  <property fmtid="{D5CDD505-2E9C-101B-9397-08002B2CF9AE}" pid="4" name="KSOTemplateDocerSaveRecord">
    <vt:lpwstr>eyJoZGlkIjoiMWJhNTRiYWQxNjUyMmQwNTU3ZDRjNGIxN2NkMmE5ZDEiLCJ1c2VySWQiOiIzOTg5NDIzMjUifQ==</vt:lpwstr>
  </property>
</Properties>
</file>