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91ADB">
      <w:pPr>
        <w:jc w:val="center"/>
        <w:rPr>
          <w:rFonts w:hint="eastAsia" w:ascii="Times New Roman" w:hAnsi="Times New Roman" w:cs="Times New Roman" w:eastAsiaTheme="minorEastAsia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</w:rPr>
        <w:t>三新技术临床应用知情同意书填写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说明</w:t>
      </w:r>
    </w:p>
    <w:p w14:paraId="7FAF8A5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DA5C51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 基础信息栏</w:t>
      </w:r>
      <w:bookmarkStart w:id="0" w:name="_GoBack"/>
      <w:bookmarkEnd w:id="0"/>
    </w:p>
    <w:p w14:paraId="5AD9287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医院名称、科室、版本号、生效日期需填写本院统一规范内容；病历号、疾病诊断需与患者病历保持一致。</w:t>
      </w:r>
    </w:p>
    <w:p w14:paraId="2F472D7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代理人信息仅在患者无完全民事行为能力（如未成年人、意识障碍者）时填写，需注明与患者关系。</w:t>
      </w:r>
    </w:p>
    <w:p w14:paraId="2F7A65D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 项目说明栏</w:t>
      </w:r>
    </w:p>
    <w:p w14:paraId="405D7311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背景与目的需简洁说明技术研发逻辑、应用目标；常规方案填写当前临床公认的治疗方式。</w:t>
      </w:r>
    </w:p>
    <w:p w14:paraId="7FFB27D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新技术流程按“评估-操作-观察-随访”的逻辑填写具体步骤，明确随访频次与时长。</w:t>
      </w:r>
    </w:p>
    <w:p w14:paraId="63EDB6B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伦理审查编号、审查日期需填写本院伦理委员会出具的正式批件信息。</w:t>
      </w:r>
    </w:p>
    <w:p w14:paraId="63C7F22F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 预期受益栏</w:t>
      </w:r>
    </w:p>
    <w:p w14:paraId="5DE8EAE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直接受益填写对患者病情的改善作用（如缓解疼痛、提高治愈率）；间接受益填写诊疗相关附加优势（如缩短住院时间、减少创伤）。</w:t>
      </w:r>
    </w:p>
    <w:p w14:paraId="76B2332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需保留“受益为可能性，非绝对承诺”的提示语，避免医疗纠纷。</w:t>
      </w:r>
    </w:p>
    <w:p w14:paraId="048EF60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 风险与应对栏</w:t>
      </w:r>
    </w:p>
    <w:p w14:paraId="0980761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按风险发生概率标注类别，风险描述需客观具体，处置措施填写临床标准应对方案。</w:t>
      </w:r>
    </w:p>
    <w:p w14:paraId="338D8521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不可遗漏“未知风险”条款，明确医院的应急处理原则。</w:t>
      </w:r>
    </w:p>
    <w:p w14:paraId="05302F6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5. 替代方案栏</w:t>
      </w:r>
    </w:p>
    <w:p w14:paraId="0C4CC67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至少填写1-2种临床常规替代方案，分别说明疗效、风险、费用差异。</w:t>
      </w:r>
    </w:p>
    <w:p w14:paraId="4F08D01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不接受新技术的后果需如实填写（如病情进展、保守治疗的局限性），避免夸大或隐瞒。</w:t>
      </w:r>
    </w:p>
    <w:p w14:paraId="7EDBE95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6. 费用与补偿栏</w:t>
      </w:r>
    </w:p>
    <w:p w14:paraId="25FF658F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自费项目需逐项列出并标注预估金额；医保/项目承担部分需核对医保政策或科研项目经费要求。</w:t>
      </w:r>
    </w:p>
    <w:p w14:paraId="2412AE8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损害补偿方式需填写本院医疗纠纷处理的正规途径（如医疗调解、保险理赔）。</w:t>
      </w:r>
    </w:p>
    <w:p w14:paraId="394B586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7. 患者/代理人权利栏</w:t>
      </w:r>
    </w:p>
    <w:p w14:paraId="61A834DF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第4项需填写具体维权渠道（如本院医患沟通办公室、当地医疗纠纷人民调解委员会）。</w:t>
      </w:r>
    </w:p>
    <w:p w14:paraId="7D9E5CF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8. 签署栏</w:t>
      </w:r>
    </w:p>
    <w:p w14:paraId="254DEFC2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患者本人签署需确认其具备完全民事行为能力；代理人签署需附相关证明材料（如监护人身份证明）。</w:t>
      </w:r>
    </w:p>
    <w:p w14:paraId="00EBC4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8A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2026-01-08T08:07:53Z</dcterms:created>
  <dc:creator>Administrator</dc:creator>
  <cp:lastModifiedBy>小胖子</cp:lastModifiedBy>
  <dcterms:modified xsi:type="dcterms:W3CDTF">2026-01-08T08:08:06Z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eyJoZGlkIjoiZTNhMTAwYmNiY2NiZDIxNWM2ODczMjE4M2Y4ZDg4MWIiLCJ1c2VySWQiOiIxMTA2NjM1OTUyIn0=</vt:lpwstr>
  </property>
  <property fmtid="{D5CDD505-2E9C-101B-9397-08002B2CF9AE}" pid="4" name="ICV">
    <vt:lpwstr>6615FED4B0A9498289CD259D1A32812B_12</vt:lpwstr>
  </property>
</Properties>
</file>